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83A3" w14:textId="4E784870" w:rsidR="005D6292" w:rsidRPr="005D6292" w:rsidRDefault="005D6292" w:rsidP="005D6292">
      <w:pPr>
        <w:shd w:val="clear" w:color="auto" w:fill="FFFFFF"/>
        <w:spacing w:after="0" w:line="240" w:lineRule="auto"/>
        <w:jc w:val="center"/>
        <w:outlineLvl w:val="0"/>
        <w:rPr>
          <w:rFonts w:ascii="Helvetica" w:eastAsia="Times New Roman" w:hAnsi="Helvetica" w:cs="Helvetica"/>
          <w:b/>
          <w:bCs/>
          <w:kern w:val="36"/>
          <w:sz w:val="38"/>
          <w:szCs w:val="38"/>
          <w:lang w:eastAsia="lt-LT"/>
        </w:rPr>
      </w:pPr>
      <w:r w:rsidRPr="005D6292">
        <w:rPr>
          <w:rFonts w:ascii="Helvetica" w:eastAsia="Times New Roman" w:hAnsi="Helvetica" w:cs="Helvetica"/>
          <w:b/>
          <w:bCs/>
          <w:kern w:val="36"/>
          <w:sz w:val="38"/>
          <w:szCs w:val="38"/>
          <w:lang w:eastAsia="lt-LT"/>
        </w:rPr>
        <w:t>Call for Papers: III Congress of Researchers of the History of Belarus, Lithuania, Poland and Ukraine</w:t>
      </w:r>
    </w:p>
    <w:p w14:paraId="5B07047F" w14:textId="46043B2E" w:rsidR="0010114F" w:rsidRPr="005D6292" w:rsidRDefault="0010114F"/>
    <w:p w14:paraId="6BD3A207" w14:textId="777FCA26" w:rsidR="005D6292" w:rsidRPr="005D6292" w:rsidRDefault="005D6292" w:rsidP="005D6292">
      <w:pPr>
        <w:shd w:val="clear" w:color="auto" w:fill="FFFFFF"/>
        <w:spacing w:after="240" w:line="240" w:lineRule="auto"/>
        <w:jc w:val="center"/>
        <w:rPr>
          <w:rFonts w:ascii="Helvetica" w:eastAsia="Times New Roman" w:hAnsi="Helvetica" w:cs="Helvetica"/>
          <w:sz w:val="27"/>
          <w:szCs w:val="27"/>
          <w:lang w:eastAsia="lt-LT"/>
        </w:rPr>
      </w:pPr>
      <w:r w:rsidRPr="005D6292">
        <w:rPr>
          <w:rFonts w:ascii="Helvetica" w:eastAsia="Times New Roman" w:hAnsi="Helvetica" w:cs="Helvetica"/>
          <w:b/>
          <w:bCs/>
          <w:sz w:val="27"/>
          <w:szCs w:val="27"/>
          <w:lang w:eastAsia="lt-LT"/>
        </w:rPr>
        <w:t>Call for Papers</w:t>
      </w:r>
      <w:r w:rsidRPr="005D6292">
        <w:rPr>
          <w:rFonts w:ascii="Helvetica" w:eastAsia="Times New Roman" w:hAnsi="Helvetica" w:cs="Helvetica"/>
          <w:sz w:val="27"/>
          <w:szCs w:val="27"/>
          <w:lang w:eastAsia="lt-LT"/>
        </w:rPr>
        <w:br/>
      </w:r>
      <w:r w:rsidRPr="005D6292">
        <w:rPr>
          <w:rFonts w:ascii="Helvetica" w:eastAsia="Times New Roman" w:hAnsi="Helvetica" w:cs="Helvetica"/>
          <w:b/>
          <w:bCs/>
          <w:sz w:val="27"/>
          <w:szCs w:val="27"/>
          <w:lang w:eastAsia="lt-LT"/>
        </w:rPr>
        <w:t>III Congress of Researchers of the History of Belarus, Lithuania, Poland and Ukraine</w:t>
      </w:r>
      <w:r w:rsidRPr="005D6292">
        <w:rPr>
          <w:rFonts w:ascii="Helvetica" w:eastAsia="Times New Roman" w:hAnsi="Helvetica" w:cs="Helvetica"/>
          <w:sz w:val="27"/>
          <w:szCs w:val="27"/>
          <w:lang w:eastAsia="lt-LT"/>
        </w:rPr>
        <w:br/>
      </w:r>
      <w:r w:rsidRPr="005D6292">
        <w:rPr>
          <w:rFonts w:ascii="Helvetica" w:eastAsia="Times New Roman" w:hAnsi="Helvetica" w:cs="Helvetica"/>
          <w:b/>
          <w:bCs/>
          <w:sz w:val="27"/>
          <w:szCs w:val="27"/>
          <w:lang w:eastAsia="lt-LT"/>
        </w:rPr>
        <w:t>A New Image of Our Neighbours – A New Language, New Narratives, and New Education about the Past, Present, and Future</w:t>
      </w:r>
      <w:r w:rsidRPr="005D6292">
        <w:rPr>
          <w:rFonts w:ascii="Helvetica" w:eastAsia="Times New Roman" w:hAnsi="Helvetica" w:cs="Helvetica"/>
          <w:sz w:val="27"/>
          <w:szCs w:val="27"/>
          <w:lang w:eastAsia="lt-LT"/>
        </w:rPr>
        <w:br/>
      </w:r>
      <w:r w:rsidRPr="005D6292">
        <w:rPr>
          <w:rFonts w:ascii="Helvetica" w:eastAsia="Times New Roman" w:hAnsi="Helvetica" w:cs="Helvetica"/>
          <w:b/>
          <w:bCs/>
          <w:sz w:val="27"/>
          <w:szCs w:val="27"/>
          <w:lang w:eastAsia="lt-LT"/>
        </w:rPr>
        <w:br/>
        <w:t>Kyiv, 20 September 2025 – Warsaw, 22–24 September 2025</w:t>
      </w:r>
    </w:p>
    <w:p w14:paraId="30FBCF38" w14:textId="77777777" w:rsidR="005D6292" w:rsidRPr="005D6292" w:rsidRDefault="005D6292" w:rsidP="005D6292">
      <w:pPr>
        <w:shd w:val="clear" w:color="auto" w:fill="FFFFFF"/>
        <w:spacing w:after="240" w:line="240" w:lineRule="auto"/>
        <w:rPr>
          <w:rFonts w:ascii="Helvetica" w:eastAsia="Times New Roman" w:hAnsi="Helvetica" w:cs="Helvetica"/>
          <w:sz w:val="27"/>
          <w:szCs w:val="27"/>
          <w:lang w:eastAsia="lt-LT"/>
        </w:rPr>
      </w:pPr>
      <w:r w:rsidRPr="005D6292">
        <w:rPr>
          <w:rFonts w:ascii="Helvetica" w:eastAsia="Times New Roman" w:hAnsi="Helvetica" w:cs="Helvetica"/>
          <w:b/>
          <w:bCs/>
          <w:sz w:val="27"/>
          <w:szCs w:val="27"/>
          <w:lang w:eastAsia="lt-LT"/>
        </w:rPr>
        <w:t>Who are we – who are the “others”?</w:t>
      </w:r>
      <w:r w:rsidRPr="005D6292">
        <w:rPr>
          <w:rFonts w:ascii="Helvetica" w:eastAsia="Times New Roman" w:hAnsi="Helvetica" w:cs="Helvetica"/>
          <w:sz w:val="27"/>
          <w:szCs w:val="27"/>
          <w:lang w:eastAsia="lt-LT"/>
        </w:rPr>
        <w:br/>
        <w:t>The shifting nature of the concept of “otherness” is one of the central themes in contemporary research on history and collective identity. To what extent are our perceptions of “others” shaped by place, time, tradition, prejudice—in short, by cultural context? When does a “stranger” become “one of us”? How have communities living along cultural and political borders throughout history coped with difference and mistrust—and when have such borders given rise to hatred or violence?</w:t>
      </w:r>
    </w:p>
    <w:p w14:paraId="474967BE" w14:textId="77777777" w:rsidR="005D6292" w:rsidRPr="005D6292" w:rsidRDefault="005D6292" w:rsidP="005D6292">
      <w:pPr>
        <w:shd w:val="clear" w:color="auto" w:fill="FFFFFF"/>
        <w:spacing w:after="240"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We aim to address these and many other questions at the </w:t>
      </w:r>
      <w:r w:rsidRPr="005D6292">
        <w:rPr>
          <w:rFonts w:ascii="Helvetica" w:eastAsia="Times New Roman" w:hAnsi="Helvetica" w:cs="Helvetica"/>
          <w:b/>
          <w:bCs/>
          <w:sz w:val="27"/>
          <w:szCs w:val="27"/>
          <w:lang w:eastAsia="lt-LT"/>
        </w:rPr>
        <w:t>3rd Congress of Researchers of the History of Belarus, Lithuania, Poland, and Ukraine</w:t>
      </w:r>
      <w:r w:rsidRPr="005D6292">
        <w:rPr>
          <w:rFonts w:ascii="Helvetica" w:eastAsia="Times New Roman" w:hAnsi="Helvetica" w:cs="Helvetica"/>
          <w:sz w:val="27"/>
          <w:szCs w:val="27"/>
          <w:lang w:eastAsia="lt-LT"/>
        </w:rPr>
        <w:t>, which will take place in two parts:</w:t>
      </w:r>
    </w:p>
    <w:p w14:paraId="661DBA0A" w14:textId="77777777" w:rsidR="005D6292" w:rsidRPr="005D6292" w:rsidRDefault="005D6292" w:rsidP="005D6292">
      <w:pPr>
        <w:numPr>
          <w:ilvl w:val="0"/>
          <w:numId w:val="1"/>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b/>
          <w:bCs/>
          <w:sz w:val="27"/>
          <w:szCs w:val="27"/>
          <w:lang w:eastAsia="lt-LT"/>
        </w:rPr>
        <w:t>20 September 2025 – Kyiv, National University of Kyiv-Mohyla Academy</w:t>
      </w:r>
    </w:p>
    <w:p w14:paraId="1D76FF8E" w14:textId="77777777" w:rsidR="005D6292" w:rsidRPr="005D6292" w:rsidRDefault="005D6292" w:rsidP="005D6292">
      <w:pPr>
        <w:numPr>
          <w:ilvl w:val="0"/>
          <w:numId w:val="1"/>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b/>
          <w:bCs/>
          <w:sz w:val="27"/>
          <w:szCs w:val="27"/>
          <w:lang w:eastAsia="lt-LT"/>
        </w:rPr>
        <w:t>22–24 September 2025 – Warsaw, University of Warsaw</w:t>
      </w:r>
    </w:p>
    <w:p w14:paraId="7936AFF7" w14:textId="77777777" w:rsidR="005D6292" w:rsidRPr="005D6292" w:rsidRDefault="005D6292" w:rsidP="005D6292">
      <w:pPr>
        <w:shd w:val="clear" w:color="auto" w:fill="FFFFFF"/>
        <w:spacing w:after="240"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The thematic scope of the Congress centers on seeking new languages to describe history, redefining narratives about neighbors, and examining the role of education and memory in shaping a shared future. We invite submissions under the following thematic blocks:</w:t>
      </w:r>
    </w:p>
    <w:p w14:paraId="42099E93"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Historical Education in Schools: New Projects</w:t>
      </w:r>
    </w:p>
    <w:p w14:paraId="06155362"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Academic Historical Education – Limitations, Challenges, Prospects</w:t>
      </w:r>
    </w:p>
    <w:p w14:paraId="7B2C923E"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New Narratives – New Concepts in Historiography and Public Discourse</w:t>
      </w:r>
    </w:p>
    <w:p w14:paraId="77F344D6"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New Perspectives in Sociological Research</w:t>
      </w:r>
    </w:p>
    <w:p w14:paraId="4AA4D0BC"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Literature – New Books in the Shared Neighbourhood</w:t>
      </w:r>
    </w:p>
    <w:p w14:paraId="2FE8940A"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Disinformation and Cooperation: Negotiating a Shared Future (Political Science)</w:t>
      </w:r>
    </w:p>
    <w:p w14:paraId="08841203"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A New Culture of Memory and Memory Policy Toward Neighbours</w:t>
      </w:r>
    </w:p>
    <w:p w14:paraId="4DB3B06A"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Institutional Heritage: Previous Collaboration and Projects on the History of Central and Eastern Europe</w:t>
      </w:r>
    </w:p>
    <w:p w14:paraId="71C802F5"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lastRenderedPageBreak/>
        <w:t>New museums and new narratives in the context of Russia's war against Ukraine</w:t>
      </w:r>
    </w:p>
    <w:p w14:paraId="35E767F1" w14:textId="2FE4A62E"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Cultural Heritage: War Damage and the Need for Reconstruction</w:t>
      </w:r>
    </w:p>
    <w:p w14:paraId="098B5608"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History in Public Space (1): New Media and New Language in the Digital Era</w:t>
      </w:r>
    </w:p>
    <w:p w14:paraId="417028CE" w14:textId="77777777" w:rsidR="005D6292" w:rsidRPr="005D6292" w:rsidRDefault="005D6292" w:rsidP="005D6292">
      <w:pPr>
        <w:numPr>
          <w:ilvl w:val="0"/>
          <w:numId w:val="2"/>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History in Public Space (2): Representations of Neighbours in Contemporary Cinema, Theatre, and Performing Arts</w:t>
      </w:r>
    </w:p>
    <w:p w14:paraId="06DA2DA6" w14:textId="77777777" w:rsidR="005D6292" w:rsidRPr="005D6292" w:rsidRDefault="005D6292" w:rsidP="005D6292">
      <w:pPr>
        <w:shd w:val="clear" w:color="auto" w:fill="FFFFFF"/>
        <w:spacing w:after="240" w:line="240" w:lineRule="auto"/>
        <w:rPr>
          <w:rFonts w:ascii="Helvetica" w:eastAsia="Times New Roman" w:hAnsi="Helvetica" w:cs="Helvetica"/>
          <w:sz w:val="27"/>
          <w:szCs w:val="27"/>
          <w:lang w:eastAsia="lt-LT"/>
        </w:rPr>
      </w:pPr>
      <w:r w:rsidRPr="005D6292">
        <w:rPr>
          <w:rFonts w:ascii="Helvetica" w:eastAsia="Times New Roman" w:hAnsi="Helvetica" w:cs="Helvetica"/>
          <w:b/>
          <w:bCs/>
          <w:sz w:val="27"/>
          <w:szCs w:val="27"/>
          <w:lang w:eastAsia="lt-LT"/>
        </w:rPr>
        <w:t>Submissions</w:t>
      </w:r>
    </w:p>
    <w:p w14:paraId="7B15DF5D" w14:textId="77777777" w:rsidR="005D6292" w:rsidRPr="005D6292" w:rsidRDefault="005D6292" w:rsidP="005D6292">
      <w:pPr>
        <w:shd w:val="clear" w:color="auto" w:fill="FFFFFF"/>
        <w:spacing w:after="240"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We invite proposals for discussion panels (including a description and proposed list of participants) to be submitted by </w:t>
      </w:r>
      <w:r w:rsidRPr="005D6292">
        <w:rPr>
          <w:rFonts w:ascii="Helvetica" w:eastAsia="Times New Roman" w:hAnsi="Helvetica" w:cs="Helvetica"/>
          <w:b/>
          <w:bCs/>
          <w:sz w:val="27"/>
          <w:szCs w:val="27"/>
          <w:lang w:eastAsia="lt-LT"/>
        </w:rPr>
        <w:t>15 June</w:t>
      </w:r>
      <w:r w:rsidRPr="005D6292">
        <w:rPr>
          <w:rFonts w:ascii="Helvetica" w:eastAsia="Times New Roman" w:hAnsi="Helvetica" w:cs="Helvetica"/>
          <w:sz w:val="27"/>
          <w:szCs w:val="27"/>
          <w:lang w:eastAsia="lt-LT"/>
        </w:rPr>
        <w:t> </w:t>
      </w:r>
      <w:r w:rsidRPr="005D6292">
        <w:rPr>
          <w:rFonts w:ascii="Helvetica" w:eastAsia="Times New Roman" w:hAnsi="Helvetica" w:cs="Helvetica"/>
          <w:b/>
          <w:bCs/>
          <w:sz w:val="27"/>
          <w:szCs w:val="27"/>
          <w:lang w:eastAsia="lt-LT"/>
        </w:rPr>
        <w:t>2025</w:t>
      </w:r>
      <w:r w:rsidRPr="005D6292">
        <w:rPr>
          <w:rFonts w:ascii="Helvetica" w:eastAsia="Times New Roman" w:hAnsi="Helvetica" w:cs="Helvetica"/>
          <w:sz w:val="27"/>
          <w:szCs w:val="27"/>
          <w:lang w:eastAsia="lt-LT"/>
        </w:rPr>
        <w:t>.</w:t>
      </w:r>
      <w:r w:rsidRPr="005D6292">
        <w:rPr>
          <w:rFonts w:ascii="Helvetica" w:eastAsia="Times New Roman" w:hAnsi="Helvetica" w:cs="Helvetica"/>
          <w:sz w:val="27"/>
          <w:szCs w:val="27"/>
          <w:lang w:eastAsia="lt-LT"/>
        </w:rPr>
        <w:br/>
        <w:t>Proposals for individual papers (abstract up to 300 words + short biographical note) should be submitted by </w:t>
      </w:r>
      <w:r w:rsidRPr="005D6292">
        <w:rPr>
          <w:rFonts w:ascii="Helvetica" w:eastAsia="Times New Roman" w:hAnsi="Helvetica" w:cs="Helvetica"/>
          <w:b/>
          <w:bCs/>
          <w:sz w:val="27"/>
          <w:szCs w:val="27"/>
          <w:lang w:eastAsia="lt-LT"/>
        </w:rPr>
        <w:t>1 July 2025</w:t>
      </w:r>
      <w:r w:rsidRPr="005D6292">
        <w:rPr>
          <w:rFonts w:ascii="Helvetica" w:eastAsia="Times New Roman" w:hAnsi="Helvetica" w:cs="Helvetica"/>
          <w:sz w:val="27"/>
          <w:szCs w:val="27"/>
          <w:lang w:eastAsia="lt-LT"/>
        </w:rPr>
        <w:t>.</w:t>
      </w:r>
      <w:r w:rsidRPr="005D6292">
        <w:rPr>
          <w:rFonts w:ascii="Helvetica" w:eastAsia="Times New Roman" w:hAnsi="Helvetica" w:cs="Helvetica"/>
          <w:sz w:val="27"/>
          <w:szCs w:val="27"/>
          <w:lang w:eastAsia="lt-LT"/>
        </w:rPr>
        <w:br/>
        <w:t>Please send all submissions to: </w:t>
      </w:r>
      <w:r w:rsidRPr="005D6292">
        <w:rPr>
          <w:rFonts w:ascii="Helvetica" w:eastAsia="Times New Roman" w:hAnsi="Helvetica" w:cs="Helvetica"/>
          <w:b/>
          <w:bCs/>
          <w:sz w:val="27"/>
          <w:szCs w:val="27"/>
          <w:lang w:eastAsia="lt-LT"/>
        </w:rPr>
        <w:t>kongres.studium@uw.edu.pl</w:t>
      </w:r>
      <w:r w:rsidRPr="005D6292">
        <w:rPr>
          <w:rFonts w:ascii="Helvetica" w:eastAsia="Times New Roman" w:hAnsi="Helvetica" w:cs="Helvetica"/>
          <w:sz w:val="27"/>
          <w:szCs w:val="27"/>
          <w:lang w:eastAsia="lt-LT"/>
        </w:rPr>
        <w:br/>
        <w:t>We encourage participants to align their presentations and panels with their most recent research.</w:t>
      </w:r>
    </w:p>
    <w:p w14:paraId="1126FD7B" w14:textId="77777777" w:rsidR="005D6292" w:rsidRPr="005D6292" w:rsidRDefault="005D6292" w:rsidP="005D6292">
      <w:pPr>
        <w:shd w:val="clear" w:color="auto" w:fill="FFFFFF"/>
        <w:spacing w:after="240" w:line="240" w:lineRule="auto"/>
        <w:rPr>
          <w:rFonts w:ascii="Helvetica" w:eastAsia="Times New Roman" w:hAnsi="Helvetica" w:cs="Helvetica"/>
          <w:sz w:val="27"/>
          <w:szCs w:val="27"/>
          <w:lang w:eastAsia="lt-LT"/>
        </w:rPr>
      </w:pPr>
      <w:r w:rsidRPr="005D6292">
        <w:rPr>
          <w:rFonts w:ascii="Helvetica" w:eastAsia="Times New Roman" w:hAnsi="Helvetica" w:cs="Helvetica"/>
          <w:b/>
          <w:bCs/>
          <w:sz w:val="27"/>
          <w:szCs w:val="27"/>
          <w:lang w:eastAsia="lt-LT"/>
        </w:rPr>
        <w:t>Organizational Information</w:t>
      </w:r>
    </w:p>
    <w:p w14:paraId="1FD7138E" w14:textId="77777777" w:rsidR="005D6292" w:rsidRPr="005D6292" w:rsidRDefault="005D6292" w:rsidP="005D6292">
      <w:pPr>
        <w:numPr>
          <w:ilvl w:val="0"/>
          <w:numId w:val="3"/>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The working languages of the Congress are: Polish, Ukrainian, Lithuanian, and English.</w:t>
      </w:r>
    </w:p>
    <w:p w14:paraId="1915E716" w14:textId="77777777" w:rsidR="005D6292" w:rsidRPr="005D6292" w:rsidRDefault="005D6292" w:rsidP="005D6292">
      <w:pPr>
        <w:numPr>
          <w:ilvl w:val="0"/>
          <w:numId w:val="3"/>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The organizers will provide accommodation and partial board for participants from Ukraine and Belarus.</w:t>
      </w:r>
    </w:p>
    <w:p w14:paraId="784EE8D1" w14:textId="77777777" w:rsidR="005D6292" w:rsidRPr="005D6292" w:rsidRDefault="005D6292" w:rsidP="005D6292">
      <w:pPr>
        <w:numPr>
          <w:ilvl w:val="0"/>
          <w:numId w:val="3"/>
        </w:numPr>
        <w:shd w:val="clear" w:color="auto" w:fill="FFFFFF"/>
        <w:spacing w:before="100" w:beforeAutospacing="1" w:after="100" w:afterAutospacing="1" w:line="240" w:lineRule="auto"/>
        <w:rPr>
          <w:rFonts w:ascii="Helvetica" w:eastAsia="Times New Roman" w:hAnsi="Helvetica" w:cs="Helvetica"/>
          <w:sz w:val="27"/>
          <w:szCs w:val="27"/>
          <w:lang w:eastAsia="lt-LT"/>
        </w:rPr>
      </w:pPr>
      <w:r w:rsidRPr="005D6292">
        <w:rPr>
          <w:rFonts w:ascii="Helvetica" w:eastAsia="Times New Roman" w:hAnsi="Helvetica" w:cs="Helvetica"/>
          <w:sz w:val="27"/>
          <w:szCs w:val="27"/>
          <w:lang w:eastAsia="lt-LT"/>
        </w:rPr>
        <w:t>Travel expenses will not be reimbursed.</w:t>
      </w:r>
    </w:p>
    <w:p w14:paraId="0646921D" w14:textId="77777777" w:rsidR="005D6292" w:rsidRPr="005D6292" w:rsidRDefault="005D6292" w:rsidP="005D6292">
      <w:pPr>
        <w:shd w:val="clear" w:color="auto" w:fill="FFFFFF"/>
        <w:spacing w:after="240" w:line="240" w:lineRule="auto"/>
        <w:rPr>
          <w:rFonts w:ascii="Helvetica" w:eastAsia="Times New Roman" w:hAnsi="Helvetica" w:cs="Helvetica"/>
          <w:sz w:val="27"/>
          <w:szCs w:val="27"/>
          <w:lang w:eastAsia="lt-LT"/>
        </w:rPr>
      </w:pPr>
      <w:r w:rsidRPr="005D6292">
        <w:rPr>
          <w:rFonts w:ascii="Helvetica" w:eastAsia="Times New Roman" w:hAnsi="Helvetica" w:cs="Helvetica"/>
          <w:b/>
          <w:bCs/>
          <w:sz w:val="27"/>
          <w:szCs w:val="27"/>
          <w:lang w:eastAsia="lt-LT"/>
        </w:rPr>
        <w:t>We look forward to welcoming you in Kyiv and Warsaw in September 2025!</w:t>
      </w:r>
    </w:p>
    <w:p w14:paraId="1401C8F8" w14:textId="77777777" w:rsidR="00C15FD3" w:rsidRDefault="00C15FD3" w:rsidP="00C15FD3"/>
    <w:p w14:paraId="23878E7D" w14:textId="77777777" w:rsidR="00C15FD3" w:rsidRDefault="00C15FD3" w:rsidP="00C15FD3">
      <w:pPr>
        <w:rPr>
          <w:b/>
          <w:bCs/>
        </w:rPr>
      </w:pPr>
      <w:r>
        <w:rPr>
          <w:b/>
          <w:bCs/>
        </w:rPr>
        <w:t>Studium Europy Wschodniej Uniwersytetu Warszawskiego</w:t>
      </w:r>
    </w:p>
    <w:p w14:paraId="22721453" w14:textId="54B574A4" w:rsidR="00C15FD3" w:rsidRDefault="00C15FD3" w:rsidP="00C15FD3">
      <w:pPr>
        <w:rPr>
          <w:b/>
          <w:bCs/>
        </w:rPr>
      </w:pPr>
      <w:r>
        <w:rPr>
          <w:rFonts w:ascii="Segoe UI" w:eastAsia="Times New Roman" w:hAnsi="Segoe UI" w:cs="Segoe UI"/>
          <w:noProof/>
          <w:color w:val="CC3366"/>
          <w:sz w:val="24"/>
          <w:szCs w:val="24"/>
          <w:lang w:eastAsia="pl-PL"/>
        </w:rPr>
        <w:drawing>
          <wp:inline distT="0" distB="0" distL="0" distR="0" wp14:anchorId="56B55D7E" wp14:editId="3F4FF84E">
            <wp:extent cx="1447800" cy="434340"/>
            <wp:effectExtent l="0" t="0" r="0" b="3810"/>
            <wp:docPr id="9" name="Picture 9" descr="https://historycongress.info/wp-content/uploads/2024/06/s2_1681831254_studium-europy-wschodniej-uniwersytetu-warszawskiego2-.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s://historycongress.info/wp-content/uploads/2024/06/s2_1681831254_studium-europy-wschodniej-uniwersytetu-warszawskiego2-.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8383" cy="437515"/>
                    </a:xfrm>
                    <a:prstGeom prst="rect">
                      <a:avLst/>
                    </a:prstGeom>
                    <a:noFill/>
                    <a:ln>
                      <a:noFill/>
                    </a:ln>
                  </pic:spPr>
                </pic:pic>
              </a:graphicData>
            </a:graphic>
          </wp:inline>
        </w:drawing>
      </w:r>
    </w:p>
    <w:p w14:paraId="2937A3C6" w14:textId="77777777" w:rsidR="00C15FD3" w:rsidRPr="00C15FD3" w:rsidRDefault="00C15FD3" w:rsidP="00C15FD3">
      <w:pPr>
        <w:rPr>
          <w:b/>
          <w:bCs/>
          <w:lang w:val="en-US"/>
        </w:rPr>
      </w:pPr>
      <w:r w:rsidRPr="00C15FD3">
        <w:rPr>
          <w:b/>
          <w:bCs/>
          <w:lang w:val="en-US"/>
        </w:rPr>
        <w:t>National University of Kyiv-</w:t>
      </w:r>
      <w:proofErr w:type="spellStart"/>
      <w:r w:rsidRPr="00C15FD3">
        <w:rPr>
          <w:b/>
          <w:bCs/>
          <w:lang w:val="en-US"/>
        </w:rPr>
        <w:t>Mohyla</w:t>
      </w:r>
      <w:proofErr w:type="spellEnd"/>
      <w:r w:rsidRPr="00C15FD3">
        <w:rPr>
          <w:b/>
          <w:bCs/>
          <w:lang w:val="en-US"/>
        </w:rPr>
        <w:t xml:space="preserve"> Academy</w:t>
      </w:r>
    </w:p>
    <w:p w14:paraId="68BA35CD" w14:textId="36F9D39B" w:rsidR="00C15FD3" w:rsidRDefault="00C15FD3" w:rsidP="00C15FD3">
      <w:pPr>
        <w:rPr>
          <w:b/>
          <w:bCs/>
          <w:lang w:val="pl-PL"/>
        </w:rPr>
      </w:pPr>
      <w:r>
        <w:rPr>
          <w:b/>
          <w:noProof/>
        </w:rPr>
        <w:drawing>
          <wp:inline distT="0" distB="0" distL="0" distR="0" wp14:anchorId="06D0A151" wp14:editId="2406A500">
            <wp:extent cx="590550"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341505E3" w14:textId="4CFD760E" w:rsidR="00C15FD3" w:rsidRDefault="00C15FD3" w:rsidP="00C15FD3">
      <w:pPr>
        <w:rPr>
          <w:b/>
          <w:bCs/>
          <w:lang w:val="de-DE"/>
        </w:rPr>
      </w:pPr>
      <w:r>
        <w:rPr>
          <w:b/>
          <w:bCs/>
          <w:lang w:val="de-DE"/>
        </w:rPr>
        <w:t>Lietuvos istorijos institutas</w:t>
      </w:r>
    </w:p>
    <w:p w14:paraId="258F923C" w14:textId="78024D84" w:rsidR="00C15FD3" w:rsidRDefault="00C15FD3" w:rsidP="00C15FD3">
      <w:pPr>
        <w:rPr>
          <w:lang w:val="pl-PL"/>
        </w:rPr>
      </w:pPr>
      <w:r>
        <w:rPr>
          <w:noProof/>
        </w:rPr>
        <w:drawing>
          <wp:inline distT="0" distB="0" distL="0" distR="0" wp14:anchorId="0CC946A5" wp14:editId="2F9EBE96">
            <wp:extent cx="809625" cy="809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168B498B" w14:textId="3D301374" w:rsidR="00C15FD3" w:rsidRDefault="00C15FD3" w:rsidP="00C15FD3">
      <w:pPr>
        <w:rPr>
          <w:b/>
          <w:bCs/>
        </w:rPr>
      </w:pPr>
      <w:r w:rsidRPr="00C15FD3">
        <w:rPr>
          <w:b/>
          <w:bCs/>
        </w:rPr>
        <w:lastRenderedPageBreak/>
        <w:t>Centre for Historical Research of the Polish Academy of Sciences in Berlin</w:t>
      </w:r>
      <w:r>
        <w:rPr>
          <w:noProof/>
        </w:rPr>
        <w:drawing>
          <wp:inline distT="0" distB="0" distL="0" distR="0" wp14:anchorId="20A7CD7C" wp14:editId="21461498">
            <wp:extent cx="2095500" cy="4540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9902" cy="457145"/>
                    </a:xfrm>
                    <a:prstGeom prst="rect">
                      <a:avLst/>
                    </a:prstGeom>
                    <a:noFill/>
                    <a:ln>
                      <a:noFill/>
                    </a:ln>
                  </pic:spPr>
                </pic:pic>
              </a:graphicData>
            </a:graphic>
          </wp:inline>
        </w:drawing>
      </w:r>
    </w:p>
    <w:p w14:paraId="78910972" w14:textId="77777777" w:rsidR="00C15FD3" w:rsidRDefault="00C15FD3" w:rsidP="00C15FD3">
      <w:pPr>
        <w:rPr>
          <w:b/>
          <w:bCs/>
          <w:lang w:val="de-DE"/>
        </w:rPr>
      </w:pPr>
      <w:r>
        <w:rPr>
          <w:b/>
          <w:bCs/>
          <w:lang w:val="de-DE"/>
        </w:rPr>
        <w:t xml:space="preserve">Leibniz-Institut für Bildungsmedien | Georg-Eckert-Institut </w:t>
      </w:r>
    </w:p>
    <w:p w14:paraId="62252097" w14:textId="4C276440" w:rsidR="00C15FD3" w:rsidRDefault="00C15FD3" w:rsidP="00C15FD3">
      <w:pPr>
        <w:rPr>
          <w:lang w:val="pl-PL"/>
        </w:rPr>
      </w:pPr>
      <w:r>
        <w:rPr>
          <w:noProof/>
        </w:rPr>
        <w:drawing>
          <wp:inline distT="0" distB="0" distL="0" distR="0" wp14:anchorId="6082C199" wp14:editId="74D74197">
            <wp:extent cx="1657350" cy="49168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669850" cy="495389"/>
                    </a:xfrm>
                    <a:prstGeom prst="rect">
                      <a:avLst/>
                    </a:prstGeom>
                    <a:noFill/>
                    <a:ln>
                      <a:noFill/>
                    </a:ln>
                  </pic:spPr>
                </pic:pic>
              </a:graphicData>
            </a:graphic>
          </wp:inline>
        </w:drawing>
      </w:r>
    </w:p>
    <w:p w14:paraId="24E5D874" w14:textId="77777777" w:rsidR="00C15FD3" w:rsidRDefault="00C15FD3" w:rsidP="00C15FD3">
      <w:pPr>
        <w:rPr>
          <w:b/>
          <w:bCs/>
        </w:rPr>
      </w:pPr>
      <w:r w:rsidRPr="00C15FD3">
        <w:rPr>
          <w:b/>
          <w:bCs/>
        </w:rPr>
        <w:t>Institute of History of Maria Curie-Skłodowska University in Lublin</w:t>
      </w:r>
    </w:p>
    <w:p w14:paraId="32364504" w14:textId="32FCBCDA" w:rsidR="00C15FD3" w:rsidRDefault="00C15FD3" w:rsidP="00C15FD3">
      <w:r>
        <w:rPr>
          <w:noProof/>
        </w:rPr>
        <w:drawing>
          <wp:inline distT="0" distB="0" distL="0" distR="0" wp14:anchorId="1349E33A" wp14:editId="7EE06F7C">
            <wp:extent cx="1524000" cy="538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8771" cy="543699"/>
                    </a:xfrm>
                    <a:prstGeom prst="rect">
                      <a:avLst/>
                    </a:prstGeom>
                    <a:noFill/>
                    <a:ln>
                      <a:noFill/>
                    </a:ln>
                  </pic:spPr>
                </pic:pic>
              </a:graphicData>
            </a:graphic>
          </wp:inline>
        </w:drawing>
      </w:r>
    </w:p>
    <w:p w14:paraId="1833D796" w14:textId="77777777" w:rsidR="00C15FD3" w:rsidRDefault="00C15FD3" w:rsidP="00C15FD3">
      <w:pPr>
        <w:rPr>
          <w:b/>
          <w:bCs/>
          <w:lang w:val="en-US"/>
        </w:rPr>
      </w:pPr>
      <w:r>
        <w:rPr>
          <w:b/>
          <w:bCs/>
          <w:lang w:val="en-US"/>
        </w:rPr>
        <w:t>PRISMA UKRA</w:t>
      </w:r>
      <w:r>
        <w:rPr>
          <w:b/>
          <w:bCs/>
        </w:rPr>
        <w:t>Ї</w:t>
      </w:r>
      <w:r>
        <w:rPr>
          <w:b/>
          <w:bCs/>
          <w:lang w:val="en-US"/>
        </w:rPr>
        <w:t>NA Research Network Eastern Europe</w:t>
      </w:r>
    </w:p>
    <w:p w14:paraId="63493365" w14:textId="1F8007DC" w:rsidR="00C15FD3" w:rsidRDefault="00C15FD3" w:rsidP="00C15FD3">
      <w:pPr>
        <w:rPr>
          <w:lang w:val="pl-PL"/>
        </w:rPr>
      </w:pPr>
      <w:r>
        <w:rPr>
          <w:noProof/>
        </w:rPr>
        <w:drawing>
          <wp:inline distT="0" distB="0" distL="0" distR="0" wp14:anchorId="149ED6FA" wp14:editId="7C789FB0">
            <wp:extent cx="2019300" cy="161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097" cy="164568"/>
                    </a:xfrm>
                    <a:prstGeom prst="rect">
                      <a:avLst/>
                    </a:prstGeom>
                    <a:noFill/>
                    <a:ln>
                      <a:noFill/>
                    </a:ln>
                  </pic:spPr>
                </pic:pic>
              </a:graphicData>
            </a:graphic>
          </wp:inline>
        </w:drawing>
      </w:r>
    </w:p>
    <w:p w14:paraId="2C7F9448" w14:textId="77777777" w:rsidR="00C15FD3" w:rsidRDefault="00C15FD3" w:rsidP="00C15FD3">
      <w:pPr>
        <w:rPr>
          <w:b/>
          <w:bCs/>
        </w:rPr>
      </w:pPr>
      <w:r>
        <w:rPr>
          <w:b/>
          <w:bCs/>
        </w:rPr>
        <w:t>Instytut Pileckiego w Warszawie</w:t>
      </w:r>
    </w:p>
    <w:p w14:paraId="35684D2C" w14:textId="3CE78EEE" w:rsidR="00C15FD3" w:rsidRDefault="00C15FD3" w:rsidP="00C15FD3">
      <w:r>
        <w:rPr>
          <w:noProof/>
        </w:rPr>
        <w:drawing>
          <wp:inline distT="0" distB="0" distL="0" distR="0" wp14:anchorId="2CAA036C" wp14:editId="445DB9A3">
            <wp:extent cx="1247775" cy="656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1703" cy="658791"/>
                    </a:xfrm>
                    <a:prstGeom prst="rect">
                      <a:avLst/>
                    </a:prstGeom>
                    <a:noFill/>
                    <a:ln>
                      <a:noFill/>
                    </a:ln>
                  </pic:spPr>
                </pic:pic>
              </a:graphicData>
            </a:graphic>
          </wp:inline>
        </w:drawing>
      </w:r>
    </w:p>
    <w:p w14:paraId="7057D30A" w14:textId="77777777" w:rsidR="00C15FD3" w:rsidRDefault="00C15FD3" w:rsidP="00C15FD3">
      <w:pPr>
        <w:rPr>
          <w:b/>
          <w:bCs/>
        </w:rPr>
      </w:pPr>
      <w:r w:rsidRPr="00C15FD3">
        <w:rPr>
          <w:b/>
          <w:bCs/>
        </w:rPr>
        <w:t>Krzyżowa Foundation for Mutual Understanding in Europe</w:t>
      </w:r>
    </w:p>
    <w:p w14:paraId="355E623B" w14:textId="54D0FBC7" w:rsidR="00C15FD3" w:rsidRDefault="00C15FD3" w:rsidP="00C15FD3">
      <w:r>
        <w:rPr>
          <w:noProof/>
        </w:rPr>
        <w:drawing>
          <wp:inline distT="0" distB="0" distL="0" distR="0" wp14:anchorId="11520E78" wp14:editId="6292999F">
            <wp:extent cx="116374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7586" cy="965205"/>
                    </a:xfrm>
                    <a:prstGeom prst="rect">
                      <a:avLst/>
                    </a:prstGeom>
                    <a:noFill/>
                    <a:ln>
                      <a:noFill/>
                    </a:ln>
                  </pic:spPr>
                </pic:pic>
              </a:graphicData>
            </a:graphic>
          </wp:inline>
        </w:drawing>
      </w:r>
    </w:p>
    <w:p w14:paraId="4CBCC358" w14:textId="77777777" w:rsidR="005D6292" w:rsidRPr="005D6292" w:rsidRDefault="005D6292" w:rsidP="005D6292"/>
    <w:sectPr w:rsidR="005D6292" w:rsidRPr="005D6292" w:rsidSect="00C15FD3">
      <w:pgSz w:w="11906" w:h="16838"/>
      <w:pgMar w:top="1440" w:right="1440" w:bottom="81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944"/>
    <w:multiLevelType w:val="multilevel"/>
    <w:tmpl w:val="151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6D6C09"/>
    <w:multiLevelType w:val="multilevel"/>
    <w:tmpl w:val="D8F2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47D68"/>
    <w:multiLevelType w:val="multilevel"/>
    <w:tmpl w:val="979A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92"/>
    <w:rsid w:val="0010114F"/>
    <w:rsid w:val="005D6292"/>
    <w:rsid w:val="00C15F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2EB8"/>
  <w15:chartTrackingRefBased/>
  <w15:docId w15:val="{7B81CA27-0C78-45BE-8415-A987F1C2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62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Heading2">
    <w:name w:val="heading 2"/>
    <w:basedOn w:val="Normal"/>
    <w:next w:val="Normal"/>
    <w:link w:val="Heading2Char"/>
    <w:uiPriority w:val="9"/>
    <w:semiHidden/>
    <w:unhideWhenUsed/>
    <w:qFormat/>
    <w:rsid w:val="00C15F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292"/>
    <w:rPr>
      <w:rFonts w:ascii="Times New Roman" w:eastAsia="Times New Roman" w:hAnsi="Times New Roman" w:cs="Times New Roman"/>
      <w:b/>
      <w:bCs/>
      <w:kern w:val="36"/>
      <w:sz w:val="48"/>
      <w:szCs w:val="48"/>
      <w:lang w:eastAsia="lt-LT"/>
    </w:rPr>
  </w:style>
  <w:style w:type="paragraph" w:styleId="NormalWeb">
    <w:name w:val="Normal (Web)"/>
    <w:basedOn w:val="Normal"/>
    <w:uiPriority w:val="99"/>
    <w:semiHidden/>
    <w:unhideWhenUsed/>
    <w:rsid w:val="005D629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5D6292"/>
    <w:rPr>
      <w:b/>
      <w:bCs/>
    </w:rPr>
  </w:style>
  <w:style w:type="paragraph" w:styleId="ListParagraph">
    <w:name w:val="List Paragraph"/>
    <w:basedOn w:val="Normal"/>
    <w:uiPriority w:val="34"/>
    <w:qFormat/>
    <w:rsid w:val="005D6292"/>
    <w:pPr>
      <w:ind w:left="720"/>
      <w:contextualSpacing/>
    </w:pPr>
  </w:style>
  <w:style w:type="character" w:customStyle="1" w:styleId="Heading2Char">
    <w:name w:val="Heading 2 Char"/>
    <w:basedOn w:val="DefaultParagraphFont"/>
    <w:link w:val="Heading2"/>
    <w:uiPriority w:val="9"/>
    <w:semiHidden/>
    <w:rsid w:val="00C15FD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6274">
      <w:bodyDiv w:val="1"/>
      <w:marLeft w:val="0"/>
      <w:marRight w:val="0"/>
      <w:marTop w:val="0"/>
      <w:marBottom w:val="0"/>
      <w:divBdr>
        <w:top w:val="none" w:sz="0" w:space="0" w:color="auto"/>
        <w:left w:val="none" w:sz="0" w:space="0" w:color="auto"/>
        <w:bottom w:val="none" w:sz="0" w:space="0" w:color="auto"/>
        <w:right w:val="none" w:sz="0" w:space="0" w:color="auto"/>
      </w:divBdr>
    </w:div>
    <w:div w:id="675962575">
      <w:bodyDiv w:val="1"/>
      <w:marLeft w:val="0"/>
      <w:marRight w:val="0"/>
      <w:marTop w:val="0"/>
      <w:marBottom w:val="0"/>
      <w:divBdr>
        <w:top w:val="none" w:sz="0" w:space="0" w:color="auto"/>
        <w:left w:val="none" w:sz="0" w:space="0" w:color="auto"/>
        <w:bottom w:val="none" w:sz="0" w:space="0" w:color="auto"/>
        <w:right w:val="none" w:sz="0" w:space="0" w:color="auto"/>
      </w:divBdr>
    </w:div>
    <w:div w:id="1404910291">
      <w:bodyDiv w:val="1"/>
      <w:marLeft w:val="0"/>
      <w:marRight w:val="0"/>
      <w:marTop w:val="0"/>
      <w:marBottom w:val="0"/>
      <w:divBdr>
        <w:top w:val="none" w:sz="0" w:space="0" w:color="auto"/>
        <w:left w:val="none" w:sz="0" w:space="0" w:color="auto"/>
        <w:bottom w:val="none" w:sz="0" w:space="0" w:color="auto"/>
        <w:right w:val="none" w:sz="0" w:space="0" w:color="auto"/>
      </w:divBdr>
    </w:div>
    <w:div w:id="20697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studium.uw.edu.pl/"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2256</Words>
  <Characters>1287</Characters>
  <Application>Microsoft Office Word</Application>
  <DocSecurity>0</DocSecurity>
  <Lines>10</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Liakhovets</dc:creator>
  <cp:keywords/>
  <dc:description/>
  <cp:lastModifiedBy>Svitlana Liakhovets</cp:lastModifiedBy>
  <cp:revision>2</cp:revision>
  <dcterms:created xsi:type="dcterms:W3CDTF">2025-05-16T14:16:00Z</dcterms:created>
  <dcterms:modified xsi:type="dcterms:W3CDTF">2025-05-22T12:50:00Z</dcterms:modified>
</cp:coreProperties>
</file>