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F7D1" w14:textId="77777777" w:rsidR="00A967B1" w:rsidRPr="00A967B1" w:rsidRDefault="00A967B1" w:rsidP="00A967B1">
      <w:pPr>
        <w:pStyle w:val="NormalWeb"/>
        <w:shd w:val="clear" w:color="auto" w:fill="FFFFFF"/>
        <w:spacing w:before="0" w:beforeAutospacing="0" w:after="158" w:afterAutospacing="0"/>
        <w:jc w:val="right"/>
      </w:pPr>
      <w:r w:rsidRPr="00A967B1">
        <w:t>Patvirtinta Doktorantūros komiteto posėdyje</w:t>
      </w:r>
      <w:r w:rsidRPr="00A967B1">
        <w:br/>
        <w:t>2021 m. rugsėjo 28 d., protokolo Nr. 170000- KT-47</w:t>
      </w:r>
    </w:p>
    <w:p w14:paraId="7ACCD335"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Šis aprašas reglamentuoja Vilniaus universiteto (toliau – VU) ir Lietuvos istorijos instituto (toliau – LII) humanitarinių mokslų srities Istorijos krypties doktorantūros (trečiosios studijų pakopos) studentų (toliau – doktorantų) seminarų organizavimą ir vykdymą.</w:t>
      </w:r>
    </w:p>
    <w:p w14:paraId="1ECF80A2"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Doktorantų seminarai įteisinami atskiru VU ir LII istorijos krypties doktorantūros komiteto (toliau – doktorantūros komiteto) sprendimu.</w:t>
      </w:r>
    </w:p>
    <w:p w14:paraId="19867B61"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Doktorantų seminarai rengiami siekiant intensyvinti Istorijos mokslo krypties doktorantūros studijas VU ir LII, užtikrinti glaudesnį doktorantų bendradarbiavimą tarpusavyje ir su mokslininkais, geriau kontroliuoti doktorantų mokslinių planų įgyvendinimą.</w:t>
      </w:r>
    </w:p>
    <w:p w14:paraId="5737F860"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Už doktorantų seminarų koordinavimą, organizavimą ir vykdymą atsakingas doktorantūros komiteto paskirtas darbuotojas. Kiekvieno naujo semestro pradžioje minėtas darbuotojas turi parengti ir suderinti su visais seminarų dalyviais grafiką, pagal kurį vyks doktorantų seminarai. Seminarų grafikas turi būti viešai prieinamas visais VU Istorijos fakulteto ir LII informaciniais kanalais.</w:t>
      </w:r>
    </w:p>
    <w:p w14:paraId="1940674D"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Doktorantų seminarai ir jų dalyviai gali būti skaidomi į atskiras grupes tiek tematiškai, tiek chronologiškai (pvz. pirma grupė</w:t>
      </w:r>
      <w:r w:rsidRPr="00A967B1">
        <w:rPr>
          <w:rStyle w:val="Emphasis"/>
        </w:rPr>
        <w:t> - archeologija ir paveldosauga</w:t>
      </w:r>
      <w:r w:rsidRPr="00A967B1">
        <w:t>, antra-</w:t>
      </w:r>
      <w:r w:rsidRPr="00A967B1">
        <w:rPr>
          <w:rStyle w:val="Emphasis"/>
        </w:rPr>
        <w:t> viduramžiai ir ankstyvieji naujieji laikai, </w:t>
      </w:r>
      <w:r w:rsidRPr="00A967B1">
        <w:t>trečia</w:t>
      </w:r>
      <w:r w:rsidRPr="00A967B1">
        <w:rPr>
          <w:rStyle w:val="Emphasis"/>
        </w:rPr>
        <w:t> - naujieji/naujausieji laikai arba XIX-XX a.</w:t>
      </w:r>
      <w:r w:rsidRPr="00A967B1">
        <w:t>). Atskirų grupių seminarai vyksta ne rečiau kaip vieną kartą per mėnesį.</w:t>
      </w:r>
    </w:p>
    <w:p w14:paraId="56C7A214"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Doktorantų seminarą sudaro keturios veiklos: 1) pranešimas apie temos ištirtumo būklę ir iš jos kylančius planuojamo tyrimo probleminius klausimus, 2) pranešimas rengiamo mokslinio straipsnio ar vieno iš disertacijos skyrių pagrindu (daromas kasmetiniame nacionaliniame istorijos ir archeologijos krypties doktorantų seminare, gali būti ir keli tokie pranešimai per visą doktorantūros studijų laikotarpį), 3) mokslinio projekto parengimas ir pristatymas simuliacinėje idėjų mugėje, 4) analitinės recenzijos parengimas knygai iš disertacinio tyrimo ar su ja susijusios tematikos. Dvi pirmos veiklos yra privalomos, iš kitų dviejų galima pasirinkti vieną.</w:t>
      </w:r>
    </w:p>
    <w:p w14:paraId="43A1C071"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Seminaras skirtas antrųjų-ketvirtųjų doktorantūros studijų metų studentams. Atsiskaičiusiems už visas jo dalis gali būti suteikta iki 2 bendrųjų gebėjimų kreditų: po 0,5 kredito už privalomas veiklas (jeigu nacionaliniame doktorantų seminare skaitomas daugiau nei vienas pranešimas, už kiekvieną suteikiama papildoma kredito dalis), dar 1 kreditas gali būti suteikiamas pasirinktinai atsiskaičius už trečią arba ketvirtą veiklą.</w:t>
      </w:r>
    </w:p>
    <w:p w14:paraId="2F608D76"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Doktorantams dalyvavimas šiuose seminaruose (išskyrus atestuotus baigiamųjų doktorantūros studijų metų doktorantus) - privalomas. Rekomenduojama, kad seminare, doktorantui pristatant pranešimą, dalyvautų ir jo studijų vadovas. Šiuose seminaruose gali dalyvauti bet kuris VU Istorijos fakulteto ar LII mokslininkas, taip pat kiti akademinės bendruomenės nariai.</w:t>
      </w:r>
    </w:p>
    <w:p w14:paraId="261FBC9D"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Seminarams vadovauja ir doktorantus konsultuoja pakviesti VU Istorijos fakulteto ir LII mokslininkai. Už kiekvieno seminaro moderatoriaus paskyrimą atsakingas VU Istorijos fakulteto dekano paskirtas darbuotojas. Seminare turi dalyvauti mažiausiai vienas ne žemesnį nei daktaro mokslinį laipsnį turintis mokslininkas.</w:t>
      </w:r>
    </w:p>
    <w:p w14:paraId="2A939739"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lastRenderedPageBreak/>
        <w:t>Vadovavimas doktorantų seminarams nustatyta tvarka įskaitomas į atitinkamo mokslininko darbo krūvį.</w:t>
      </w:r>
    </w:p>
    <w:p w14:paraId="7B1D246B"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Doktorantūrų seminarų metu gali būti organizuojami VU ar LII vizituojančių mokslininkų pranešimai.</w:t>
      </w:r>
    </w:p>
    <w:p w14:paraId="280B1E59" w14:textId="77777777" w:rsidR="00A967B1" w:rsidRPr="00A967B1" w:rsidRDefault="00A967B1" w:rsidP="00A967B1">
      <w:pPr>
        <w:pStyle w:val="NormalWeb"/>
        <w:numPr>
          <w:ilvl w:val="0"/>
          <w:numId w:val="1"/>
        </w:numPr>
        <w:shd w:val="clear" w:color="auto" w:fill="FFFFFF"/>
        <w:spacing w:before="0" w:beforeAutospacing="0" w:after="158" w:afterAutospacing="0"/>
        <w:jc w:val="both"/>
      </w:pPr>
      <w:r w:rsidRPr="00A967B1">
        <w:t>Seminaruose gali dalyvauti į stažuotę VU ar LII atvykę doktorantai iš užsienio. Už jų įtraukimą į seminarų planą atsakingas seminarų vykdymą koordinuojantis asmuo.</w:t>
      </w:r>
    </w:p>
    <w:p w14:paraId="65195412" w14:textId="77777777" w:rsidR="00AF6A76" w:rsidRPr="00A967B1" w:rsidRDefault="00AF6A76">
      <w:pPr>
        <w:rPr>
          <w:rFonts w:ascii="Times New Roman" w:hAnsi="Times New Roman" w:cs="Times New Roman"/>
          <w:sz w:val="24"/>
          <w:szCs w:val="24"/>
        </w:rPr>
      </w:pPr>
    </w:p>
    <w:sectPr w:rsidR="00AF6A76" w:rsidRPr="00A967B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11904"/>
    <w:multiLevelType w:val="multilevel"/>
    <w:tmpl w:val="DF544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176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B1"/>
    <w:rsid w:val="00A967B1"/>
    <w:rsid w:val="00AF6A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1A6B"/>
  <w15:chartTrackingRefBased/>
  <w15:docId w15:val="{BCBDCB6B-58FB-4441-A96E-043C9BC0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67B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phasis">
    <w:name w:val="Emphasis"/>
    <w:basedOn w:val="DefaultParagraphFont"/>
    <w:uiPriority w:val="20"/>
    <w:qFormat/>
    <w:rsid w:val="00A967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68846">
      <w:bodyDiv w:val="1"/>
      <w:marLeft w:val="0"/>
      <w:marRight w:val="0"/>
      <w:marTop w:val="0"/>
      <w:marBottom w:val="0"/>
      <w:divBdr>
        <w:top w:val="none" w:sz="0" w:space="0" w:color="auto"/>
        <w:left w:val="none" w:sz="0" w:space="0" w:color="auto"/>
        <w:bottom w:val="none" w:sz="0" w:space="0" w:color="auto"/>
        <w:right w:val="none" w:sz="0" w:space="0" w:color="auto"/>
      </w:divBdr>
      <w:divsChild>
        <w:div w:id="682976964">
          <w:marLeft w:val="0"/>
          <w:marRight w:val="0"/>
          <w:marTop w:val="0"/>
          <w:marBottom w:val="0"/>
          <w:divBdr>
            <w:top w:val="none" w:sz="0" w:space="0" w:color="auto"/>
            <w:left w:val="none" w:sz="0" w:space="0" w:color="auto"/>
            <w:bottom w:val="none" w:sz="0" w:space="0" w:color="auto"/>
            <w:right w:val="none" w:sz="0" w:space="0" w:color="auto"/>
          </w:divBdr>
          <w:divsChild>
            <w:div w:id="1184050994">
              <w:marLeft w:val="0"/>
              <w:marRight w:val="0"/>
              <w:marTop w:val="0"/>
              <w:marBottom w:val="0"/>
              <w:divBdr>
                <w:top w:val="none" w:sz="0" w:space="0" w:color="auto"/>
                <w:left w:val="none" w:sz="0" w:space="0" w:color="auto"/>
                <w:bottom w:val="none" w:sz="0" w:space="0" w:color="auto"/>
                <w:right w:val="none" w:sz="0" w:space="0" w:color="auto"/>
              </w:divBdr>
              <w:divsChild>
                <w:div w:id="1059862327">
                  <w:marLeft w:val="0"/>
                  <w:marRight w:val="0"/>
                  <w:marTop w:val="0"/>
                  <w:marBottom w:val="30"/>
                  <w:divBdr>
                    <w:top w:val="single" w:sz="6" w:space="0" w:color="FFFFFF"/>
                    <w:left w:val="single" w:sz="6" w:space="0" w:color="FFFFFF"/>
                    <w:bottom w:val="single" w:sz="6" w:space="0" w:color="FFFFFF"/>
                    <w:right w:val="single" w:sz="6" w:space="0" w:color="FFFFFF"/>
                  </w:divBdr>
                  <w:divsChild>
                    <w:div w:id="636689228">
                      <w:marLeft w:val="0"/>
                      <w:marRight w:val="0"/>
                      <w:marTop w:val="0"/>
                      <w:marBottom w:val="0"/>
                      <w:divBdr>
                        <w:top w:val="none" w:sz="0" w:space="0" w:color="auto"/>
                        <w:left w:val="none" w:sz="0" w:space="0" w:color="auto"/>
                        <w:bottom w:val="none" w:sz="0" w:space="0" w:color="auto"/>
                        <w:right w:val="none" w:sz="0" w:space="0" w:color="auto"/>
                      </w:divBdr>
                      <w:divsChild>
                        <w:div w:id="65542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2291</Words>
  <Characters>1306</Characters>
  <Application>Microsoft Office Word</Application>
  <DocSecurity>0</DocSecurity>
  <Lines>10</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istorijosinst@outlook.com</dc:creator>
  <cp:keywords/>
  <dc:description/>
  <cp:lastModifiedBy>istorijosinst@outlook.com</cp:lastModifiedBy>
  <cp:revision>1</cp:revision>
  <dcterms:created xsi:type="dcterms:W3CDTF">2022-08-10T11:34:00Z</dcterms:created>
  <dcterms:modified xsi:type="dcterms:W3CDTF">2022-08-10T11:35:00Z</dcterms:modified>
</cp:coreProperties>
</file>